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Buchführung, Mahnwesen und Controlling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Durchführung aller Aufgaben des Finanzwesens, insbesondere Aufgaben der Buchführung (Prüfung, Verbuchung und Zahlung von Rechnungen), Überwachung und Durchführung des Mahnwesen, Erstellung von Controlling Berichten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 (Abrechnung von Leistungen).
          <w:br/>
          Die Verarbeitung ist für Zwecke des Beschäftigungsverhältnisses gemäß § 26 Abs. 1 S. 1 BDSG, Art. 6 Abs. 1 lit. b) DS-GVO erforderlich (Zahlung von Entgelten und Leistungen).
          <w:br/>
          Die Verarbeitung ist zur Erfüllung einer rechtlichen Verpflichtung gem. Art. 6 Abs. 1 lit. c DS-GVO erforderlich (Buchführungspflichten und Aufbewahrungspflichten).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(Einkauf, Verkauf, Finanzbuchhaltung))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Öffentliche Stelle (Öffentliche-Stelle: Finanzamt)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Aufbewahrung der Daten für 10 Jahre (Entgeltabrechnung + Verkauf / Einkaufsdaten)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